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C3493" w:rsidTr="001A7237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(246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(247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(257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A7237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r w:rsidRPr="001A7237">
              <w:rPr>
                <w:rFonts w:cs="Arial"/>
                <w:b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11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18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</w:tr>
      <w:tr w:rsidR="000C3493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  <w:tr w:rsidR="000C3493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0C3493" w:rsidRDefault="000C3493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C3493" w:rsidTr="001A7237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(280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3317DA">
              <w:rPr>
                <w:b/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(308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3317DA">
              <w:rPr>
                <w:b/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Pr="003317DA" w:rsidRDefault="005B07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>
              <w:rPr>
                <w:b/>
                <w:bCs/>
                <w:sz w:val="20"/>
                <w:szCs w:val="20"/>
                <w:lang w:val="en-US"/>
              </w:rPr>
              <w:t>(309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A7237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81033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hyperlink r:id="rId6" w:history="1">
              <w:r w:rsidR="005B079B" w:rsidRPr="001A7237">
                <w:rPr>
                  <w:rFonts w:cs="Arial"/>
                  <w:b/>
                  <w:bCs/>
                  <w:szCs w:val="16"/>
                  <w:lang w:val="en-US"/>
                </w:rPr>
                <w:t>17</w:t>
              </w:r>
            </w:hyperlink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  <w:tr w:rsidR="000C3493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</w:tr>
    </w:tbl>
    <w:p w:rsidR="000C3493" w:rsidRDefault="000C3493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C3493" w:rsidTr="001A7237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Pr="003317DA" w:rsidRDefault="005B07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>
              <w:rPr>
                <w:b/>
                <w:bCs/>
                <w:sz w:val="20"/>
                <w:szCs w:val="20"/>
                <w:lang w:val="en-US"/>
              </w:rPr>
              <w:t>(310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(311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(312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A7237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C3493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9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16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23</w:t>
            </w:r>
          </w:p>
        </w:tc>
      </w:tr>
      <w:tr w:rsidR="000C3493" w:rsidTr="003317DA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eastAsia="Arial Unicode MS" w:cs="Arial"/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30</w:t>
            </w:r>
          </w:p>
        </w:tc>
      </w:tr>
      <w:tr w:rsidR="000C3493" w:rsidTr="001A723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</w:tr>
    </w:tbl>
    <w:p w:rsidR="000C3493" w:rsidRDefault="000C3493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C3493" w:rsidTr="001A7237">
        <w:trPr>
          <w:cantSplit/>
          <w:trHeight w:hRule="exact" w:val="360"/>
          <w:jc w:val="center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(507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(245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3493" w:rsidRDefault="000C349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3493" w:rsidRDefault="005B079B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</w:t>
            </w:r>
            <w:r w:rsidR="003317DA">
              <w:rPr>
                <w:b/>
                <w:bCs/>
                <w:sz w:val="28"/>
                <w:lang w:val="en-US"/>
              </w:rPr>
              <w:t xml:space="preserve"> – 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(246</w:t>
            </w:r>
            <w:r w:rsidR="003317DA" w:rsidRPr="003317D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3317DA" w:rsidRPr="003317D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A7237" w:rsidTr="001A7237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proofErr w:type="spellStart"/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 w:rsidRPr="001A7237"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C3493" w:rsidTr="003317DA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</w:t>
            </w:r>
          </w:p>
        </w:tc>
      </w:tr>
      <w:tr w:rsidR="000C3493" w:rsidTr="003317DA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9</w:t>
            </w:r>
          </w:p>
        </w:tc>
        <w:bookmarkStart w:id="0" w:name="_GoBack"/>
        <w:bookmarkEnd w:id="0"/>
      </w:tr>
      <w:tr w:rsidR="000C3493" w:rsidTr="003317DA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16</w:t>
            </w:r>
          </w:p>
        </w:tc>
      </w:tr>
      <w:tr w:rsidR="000C3493" w:rsidTr="003317DA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23</w:t>
            </w:r>
          </w:p>
        </w:tc>
      </w:tr>
      <w:tr w:rsidR="000C3493" w:rsidTr="003317DA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eastAsia="Arial Unicode MS"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  <w:r w:rsidRPr="001A7237">
              <w:rPr>
                <w:rFonts w:cs="Arial"/>
                <w:b/>
                <w:szCs w:val="16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3493" w:rsidRPr="003317DA" w:rsidRDefault="005B079B">
            <w:pPr>
              <w:jc w:val="center"/>
              <w:rPr>
                <w:rFonts w:eastAsia="Arial Unicode MS" w:cs="Arial"/>
                <w:b/>
                <w:color w:val="FFFFFF" w:themeColor="background1"/>
                <w:szCs w:val="16"/>
                <w:lang w:val="en-US"/>
              </w:rPr>
            </w:pPr>
            <w:r w:rsidRPr="003317DA">
              <w:rPr>
                <w:rFonts w:cs="Arial"/>
                <w:b/>
                <w:color w:val="FFFFFF" w:themeColor="background1"/>
                <w:szCs w:val="16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30</w:t>
            </w:r>
          </w:p>
        </w:tc>
      </w:tr>
      <w:tr w:rsidR="000C3493" w:rsidTr="001A7237">
        <w:trPr>
          <w:cantSplit/>
          <w:trHeight w:hRule="exact" w:val="3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5B079B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 w:rsidRPr="001A7237">
              <w:rPr>
                <w:rFonts w:cs="Arial"/>
                <w:b/>
                <w:bCs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93" w:rsidRPr="001A7237" w:rsidRDefault="000C349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3168"/>
      </w:tblGrid>
      <w:tr w:rsidR="008D7379" w:rsidTr="00B610C1">
        <w:trPr>
          <w:trHeight w:val="26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 w:rsidRPr="009B5CE4">
              <w:rPr>
                <w:rFonts w:cs="Arial"/>
                <w:color w:val="FFFFFF"/>
                <w:sz w:val="20"/>
                <w:szCs w:val="20"/>
                <w:lang w:val="en-US"/>
              </w:rPr>
              <w:t>Trial on the Merits Docket</w:t>
            </w:r>
          </w:p>
        </w:tc>
      </w:tr>
      <w:tr w:rsidR="008D7379" w:rsidTr="00B610C1">
        <w:trPr>
          <w:trHeight w:val="20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8D7379" w:rsidTr="00B610C1">
        <w:trPr>
          <w:trHeight w:val="26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B5CE4">
              <w:rPr>
                <w:rFonts w:cs="Arial"/>
                <w:sz w:val="20"/>
                <w:szCs w:val="20"/>
                <w:lang w:val="en-US"/>
              </w:rPr>
              <w:t>County Holidays</w:t>
            </w:r>
          </w:p>
        </w:tc>
      </w:tr>
      <w:tr w:rsidR="008D7379" w:rsidTr="00B610C1">
        <w:trPr>
          <w:trHeight w:val="20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8D7379" w:rsidTr="00B610C1">
        <w:trPr>
          <w:trHeight w:val="26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B5CE4">
              <w:rPr>
                <w:rFonts w:cs="Arial"/>
                <w:sz w:val="20"/>
                <w:szCs w:val="20"/>
                <w:lang w:val="en-US"/>
              </w:rPr>
              <w:t>Local Rule Dead Weeks</w:t>
            </w:r>
          </w:p>
        </w:tc>
      </w:tr>
      <w:tr w:rsidR="008D7379" w:rsidTr="00B610C1">
        <w:trPr>
          <w:trHeight w:val="20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8D7379" w:rsidTr="00B610C1">
        <w:trPr>
          <w:trHeight w:val="268"/>
        </w:trPr>
        <w:tc>
          <w:tcPr>
            <w:tcW w:w="3168" w:type="dxa"/>
            <w:shd w:val="clear" w:color="auto" w:fill="FF0000"/>
            <w:vAlign w:val="center"/>
          </w:tcPr>
          <w:p w:rsidR="008D7379" w:rsidRPr="009B5CE4" w:rsidRDefault="008D7379" w:rsidP="00B610C1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 w:rsidRPr="009B5CE4">
              <w:rPr>
                <w:rFonts w:cs="Arial"/>
                <w:color w:val="FFFFFF"/>
                <w:sz w:val="20"/>
                <w:szCs w:val="20"/>
                <w:lang w:val="en-US"/>
              </w:rPr>
              <w:t>Entry or Dismiss Docket</w:t>
            </w:r>
          </w:p>
        </w:tc>
      </w:tr>
    </w:tbl>
    <w:p w:rsidR="000C3493" w:rsidRDefault="000C3493">
      <w:pPr>
        <w:rPr>
          <w:rFonts w:cs="Arial"/>
          <w:sz w:val="20"/>
          <w:szCs w:val="20"/>
          <w:lang w:val="en-US"/>
        </w:rPr>
      </w:pPr>
    </w:p>
    <w:p w:rsidR="005B079B" w:rsidRDefault="005B079B">
      <w:pPr>
        <w:rPr>
          <w:rFonts w:cs="Arial"/>
          <w:sz w:val="2"/>
          <w:szCs w:val="12"/>
          <w:lang w:val="en-US"/>
        </w:rPr>
      </w:pPr>
    </w:p>
    <w:sectPr w:rsidR="005B079B" w:rsidSect="0041502F">
      <w:headerReference w:type="default" r:id="rId7"/>
      <w:footerReference w:type="default" r:id="rId8"/>
      <w:type w:val="continuous"/>
      <w:pgSz w:w="12240" w:h="15840" w:code="1"/>
      <w:pgMar w:top="360" w:right="648" w:bottom="720" w:left="648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33" w:rsidRDefault="00810333">
      <w:r>
        <w:separator/>
      </w:r>
    </w:p>
  </w:endnote>
  <w:endnote w:type="continuationSeparator" w:id="0">
    <w:p w:rsidR="00810333" w:rsidRDefault="0081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2F" w:rsidRDefault="00810333" w:rsidP="0041502F">
    <w:pPr>
      <w:tabs>
        <w:tab w:val="right" w:pos="10920"/>
      </w:tabs>
      <w:rPr>
        <w:sz w:val="14"/>
        <w:lang w:val="en-US"/>
      </w:rPr>
    </w:pPr>
    <w:hyperlink r:id="rId1" w:history="1">
      <w:r w:rsidR="0041502F">
        <w:rPr>
          <w:rStyle w:val="Hyperlink"/>
          <w:sz w:val="20"/>
          <w:szCs w:val="20"/>
          <w:lang w:val="en-US"/>
        </w:rPr>
        <w:t>© www.calendarpedia.com</w:t>
      </w:r>
    </w:hyperlink>
    <w:r w:rsidR="0041502F">
      <w:rPr>
        <w:lang w:val="en-US"/>
      </w:rPr>
      <w:tab/>
    </w:r>
    <w:r w:rsidR="0041502F">
      <w:rPr>
        <w:sz w:val="10"/>
        <w:lang w:val="en-US"/>
      </w:rPr>
      <w:t>Data provided 'as is' without warranty</w:t>
    </w:r>
  </w:p>
  <w:p w:rsidR="0041502F" w:rsidRDefault="0041502F">
    <w:pPr>
      <w:pStyle w:val="Footer"/>
      <w:tabs>
        <w:tab w:val="clear" w:pos="4153"/>
        <w:tab w:val="clear" w:pos="8306"/>
      </w:tabs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33" w:rsidRDefault="00810333">
      <w:r>
        <w:separator/>
      </w:r>
    </w:p>
  </w:footnote>
  <w:footnote w:type="continuationSeparator" w:id="0">
    <w:p w:rsidR="00810333" w:rsidRDefault="0081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93" w:rsidRDefault="001A7237">
    <w:pPr>
      <w:spacing w:after="120"/>
      <w:rPr>
        <w:b/>
        <w:bCs/>
        <w:sz w:val="48"/>
        <w:lang w:val="en-US"/>
      </w:rPr>
    </w:pPr>
    <w:r>
      <w:rPr>
        <w:b/>
        <w:bCs/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5744845</wp:posOffset>
          </wp:positionH>
          <wp:positionV relativeFrom="page">
            <wp:posOffset>331470</wp:posOffset>
          </wp:positionV>
          <wp:extent cx="1176655" cy="248285"/>
          <wp:effectExtent l="0" t="0" r="4445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79B">
      <w:rPr>
        <w:b/>
        <w:bCs/>
        <w:sz w:val="48"/>
        <w:lang w:val="en-US"/>
      </w:rPr>
      <w:t>2017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7"/>
    <w:rsid w:val="000C3493"/>
    <w:rsid w:val="001A7237"/>
    <w:rsid w:val="003317DA"/>
    <w:rsid w:val="0041502F"/>
    <w:rsid w:val="005163E9"/>
    <w:rsid w:val="005B079B"/>
    <w:rsid w:val="00621403"/>
    <w:rsid w:val="00810333"/>
    <w:rsid w:val="008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E71E7-42D0-4139-9D98-7811617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A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5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D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ped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/>
  <LinksUpToDate>false</LinksUpToDate>
  <CharactersWithSpaces>1829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2052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Calendarpedia.com</dc:creator>
  <cp:keywords/>
  <dc:description>© www.calendarpedia.com - Your source for calendars</dc:description>
  <cp:lastModifiedBy>Farr, Judge David (DCA)</cp:lastModifiedBy>
  <cp:revision>2</cp:revision>
  <cp:lastPrinted>2016-07-12T20:01:00Z</cp:lastPrinted>
  <dcterms:created xsi:type="dcterms:W3CDTF">2016-07-12T21:00:00Z</dcterms:created>
  <dcterms:modified xsi:type="dcterms:W3CDTF">2016-07-12T21:00:00Z</dcterms:modified>
</cp:coreProperties>
</file>