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B8" w:rsidRPr="005348A6" w:rsidRDefault="00486AB8">
      <w:pPr>
        <w:rPr>
          <w:rFonts w:cstheme="minorHAnsi"/>
          <w:b/>
        </w:rPr>
      </w:pPr>
      <w:r w:rsidRPr="005348A6">
        <w:rPr>
          <w:rFonts w:cstheme="minorHAnsi"/>
          <w:b/>
          <w:u w:val="single"/>
        </w:rPr>
        <w:t>Submission Docket</w:t>
      </w:r>
    </w:p>
    <w:tbl>
      <w:tblPr>
        <w:tblW w:w="0" w:type="auto"/>
        <w:tblLayout w:type="fixed"/>
        <w:tblLook w:val="04A0" w:firstRow="1" w:lastRow="0" w:firstColumn="1" w:lastColumn="0" w:noHBand="0" w:noVBand="1"/>
      </w:tblPr>
      <w:tblGrid>
        <w:gridCol w:w="7560"/>
      </w:tblGrid>
      <w:tr w:rsidR="00486AB8" w:rsidRPr="00486AB8" w:rsidTr="00486AB8">
        <w:tc>
          <w:tcPr>
            <w:tcW w:w="7560" w:type="dxa"/>
            <w:vAlign w:val="center"/>
            <w:hideMark/>
          </w:tcPr>
          <w:p w:rsidR="00486AB8" w:rsidRPr="005348A6" w:rsidRDefault="00486AB8" w:rsidP="00486AB8">
            <w:pPr>
              <w:spacing w:after="0" w:line="240" w:lineRule="auto"/>
              <w:jc w:val="both"/>
              <w:rPr>
                <w:rFonts w:eastAsia="Times New Roman" w:cstheme="minorHAnsi"/>
                <w:b/>
                <w:color w:val="000000"/>
              </w:rPr>
            </w:pPr>
            <w:r w:rsidRPr="005348A6">
              <w:rPr>
                <w:rFonts w:cstheme="minorHAnsi"/>
                <w:b/>
              </w:rPr>
              <w:t>1.   A</w:t>
            </w:r>
            <w:r w:rsidRPr="00486AB8">
              <w:rPr>
                <w:rFonts w:eastAsia="Times New Roman" w:cstheme="minorHAnsi"/>
                <w:b/>
                <w:color w:val="000000"/>
              </w:rPr>
              <w:t xml:space="preserve"> matter set for consideration by submission means the setting shall be</w:t>
            </w:r>
            <w:r w:rsidRPr="00486AB8">
              <w:rPr>
                <w:rFonts w:eastAsia="Times New Roman" w:cstheme="minorHAnsi"/>
                <w:b/>
                <w:color w:val="000000"/>
              </w:rPr>
              <w:br/>
              <w:t>considered and ruled upon by the court WITHOUT AN ORAL HEARING</w:t>
            </w:r>
            <w:r w:rsidRPr="005348A6">
              <w:rPr>
                <w:rFonts w:eastAsia="Times New Roman" w:cstheme="minorHAnsi"/>
                <w:b/>
                <w:color w:val="000000"/>
              </w:rPr>
              <w:t>.</w:t>
            </w:r>
          </w:p>
          <w:p w:rsidR="00F52F7B" w:rsidRPr="005348A6" w:rsidRDefault="00F52F7B" w:rsidP="00486AB8">
            <w:pPr>
              <w:spacing w:after="0" w:line="240" w:lineRule="auto"/>
              <w:jc w:val="both"/>
              <w:rPr>
                <w:rFonts w:eastAsia="Times New Roman" w:cstheme="minorHAnsi"/>
                <w:b/>
                <w:color w:val="000000"/>
              </w:rPr>
            </w:pPr>
          </w:p>
          <w:tbl>
            <w:tblPr>
              <w:tblW w:w="7560" w:type="dxa"/>
              <w:tblLayout w:type="fixed"/>
              <w:tblLook w:val="04A0" w:firstRow="1" w:lastRow="0" w:firstColumn="1" w:lastColumn="0" w:noHBand="0" w:noVBand="1"/>
            </w:tblPr>
            <w:tblGrid>
              <w:gridCol w:w="7560"/>
            </w:tblGrid>
            <w:tr w:rsidR="00486AB8" w:rsidRPr="00486AB8" w:rsidTr="00486AB8">
              <w:tc>
                <w:tcPr>
                  <w:tcW w:w="7560" w:type="dxa"/>
                  <w:vAlign w:val="center"/>
                  <w:hideMark/>
                </w:tcPr>
                <w:p w:rsidR="00486AB8" w:rsidRPr="005348A6" w:rsidRDefault="00486AB8" w:rsidP="00F52F7B">
                  <w:pPr>
                    <w:spacing w:after="0" w:line="240" w:lineRule="auto"/>
                    <w:rPr>
                      <w:rFonts w:eastAsia="Times New Roman" w:cstheme="minorHAnsi"/>
                      <w:b/>
                    </w:rPr>
                  </w:pPr>
                  <w:r w:rsidRPr="005348A6">
                    <w:rPr>
                      <w:rFonts w:cstheme="minorHAnsi"/>
                      <w:b/>
                    </w:rPr>
                    <w:t xml:space="preserve">2.  </w:t>
                  </w:r>
                  <w:r w:rsidRPr="00486AB8">
                    <w:rPr>
                      <w:rFonts w:eastAsia="Times New Roman" w:cstheme="minorHAnsi"/>
                      <w:b/>
                      <w:color w:val="000000"/>
                    </w:rPr>
                    <w:t>The following contested motions must b</w:t>
                  </w:r>
                  <w:r w:rsidRPr="005348A6">
                    <w:rPr>
                      <w:rFonts w:eastAsia="Times New Roman" w:cstheme="minorHAnsi"/>
                      <w:b/>
                      <w:color w:val="000000"/>
                    </w:rPr>
                    <w:t>e set for hearing by submission:</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Compel discovery/deposition, or for protection (discovery disputes)</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Reinstate</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Substituted service</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contested entry of an order</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 xml:space="preserve">For judgment </w:t>
                  </w:r>
                  <w:proofErr w:type="spellStart"/>
                  <w:r w:rsidRPr="005348A6">
                    <w:rPr>
                      <w:rStyle w:val="fontstyle01"/>
                      <w:rFonts w:asciiTheme="minorHAnsi" w:hAnsiTheme="minorHAnsi" w:cstheme="minorHAnsi"/>
                      <w:b/>
                      <w:sz w:val="22"/>
                      <w:szCs w:val="22"/>
                    </w:rPr>
                    <w:t>nunc</w:t>
                  </w:r>
                  <w:proofErr w:type="spellEnd"/>
                  <w:r w:rsidRPr="005348A6">
                    <w:rPr>
                      <w:rStyle w:val="fontstyle01"/>
                      <w:rFonts w:asciiTheme="minorHAnsi" w:hAnsiTheme="minorHAnsi" w:cstheme="minorHAnsi"/>
                      <w:b/>
                      <w:sz w:val="22"/>
                      <w:szCs w:val="22"/>
                    </w:rPr>
                    <w:t xml:space="preserve"> pro </w:t>
                  </w:r>
                  <w:proofErr w:type="spellStart"/>
                  <w:r w:rsidRPr="005348A6">
                    <w:rPr>
                      <w:rStyle w:val="fontstyle01"/>
                      <w:rFonts w:asciiTheme="minorHAnsi" w:hAnsiTheme="minorHAnsi" w:cstheme="minorHAnsi"/>
                      <w:b/>
                      <w:sz w:val="22"/>
                      <w:szCs w:val="22"/>
                    </w:rPr>
                    <w:t>tunc</w:t>
                  </w:r>
                  <w:proofErr w:type="spellEnd"/>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To consolidate</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genetic testing</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appointment of attorney ad litem, amicus attorney, or for custody evaluation</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adoption evaluation</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continuance</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drug testing</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For withdrawal fo</w:t>
                  </w:r>
                  <w:r w:rsidR="00F52F7B" w:rsidRPr="005348A6">
                    <w:rPr>
                      <w:rStyle w:val="fontstyle01"/>
                      <w:rFonts w:asciiTheme="minorHAnsi" w:hAnsiTheme="minorHAnsi" w:cstheme="minorHAnsi"/>
                      <w:b/>
                      <w:sz w:val="22"/>
                      <w:szCs w:val="22"/>
                    </w:rPr>
                    <w:t>r</w:t>
                  </w:r>
                  <w:r w:rsidRPr="005348A6">
                    <w:rPr>
                      <w:rStyle w:val="fontstyle01"/>
                      <w:rFonts w:asciiTheme="minorHAnsi" w:hAnsiTheme="minorHAnsi" w:cstheme="minorHAnsi"/>
                      <w:b/>
                      <w:sz w:val="22"/>
                      <w:szCs w:val="22"/>
                    </w:rPr>
                    <w:t xml:space="preserve"> counsel</w:t>
                  </w:r>
                </w:p>
                <w:p w:rsidR="00486AB8" w:rsidRPr="005348A6" w:rsidRDefault="00486AB8" w:rsidP="00486AB8">
                  <w:pPr>
                    <w:pStyle w:val="ListParagraph"/>
                    <w:numPr>
                      <w:ilvl w:val="0"/>
                      <w:numId w:val="3"/>
                    </w:numPr>
                    <w:rPr>
                      <w:rStyle w:val="fontstyle01"/>
                      <w:rFonts w:asciiTheme="minorHAnsi" w:hAnsiTheme="minorHAnsi" w:cstheme="minorHAnsi"/>
                      <w:b/>
                      <w:color w:val="auto"/>
                      <w:sz w:val="22"/>
                      <w:szCs w:val="22"/>
                    </w:rPr>
                  </w:pPr>
                  <w:r w:rsidRPr="005348A6">
                    <w:rPr>
                      <w:rStyle w:val="fontstyle01"/>
                      <w:rFonts w:asciiTheme="minorHAnsi" w:hAnsiTheme="minorHAnsi" w:cstheme="minorHAnsi"/>
                      <w:b/>
                      <w:sz w:val="22"/>
                      <w:szCs w:val="22"/>
                    </w:rPr>
                    <w:t xml:space="preserve">To confer with child </w:t>
                  </w:r>
                  <w:r w:rsidRPr="005348A6">
                    <w:rPr>
                      <w:rStyle w:val="fontstyle01"/>
                      <w:rFonts w:asciiTheme="minorHAnsi" w:hAnsiTheme="minorHAnsi" w:cstheme="minorHAnsi"/>
                      <w:b/>
                      <w:sz w:val="22"/>
                      <w:szCs w:val="22"/>
                      <w:u w:val="single"/>
                    </w:rPr>
                    <w:t>&gt;</w:t>
                  </w:r>
                  <w:r w:rsidRPr="005348A6">
                    <w:rPr>
                      <w:rStyle w:val="fontstyle01"/>
                      <w:rFonts w:asciiTheme="minorHAnsi" w:hAnsiTheme="minorHAnsi" w:cstheme="minorHAnsi"/>
                      <w:b/>
                      <w:sz w:val="22"/>
                      <w:szCs w:val="22"/>
                    </w:rPr>
                    <w:t xml:space="preserve"> 12 years old</w:t>
                  </w:r>
                </w:p>
                <w:p w:rsidR="00486AB8" w:rsidRPr="005348A6" w:rsidRDefault="00486AB8" w:rsidP="00486AB8">
                  <w:pPr>
                    <w:pStyle w:val="ListParagraph"/>
                    <w:numPr>
                      <w:ilvl w:val="0"/>
                      <w:numId w:val="3"/>
                    </w:numPr>
                    <w:rPr>
                      <w:rFonts w:cstheme="minorHAnsi"/>
                      <w:b/>
                    </w:rPr>
                  </w:pPr>
                  <w:r w:rsidRPr="005348A6">
                    <w:rPr>
                      <w:rFonts w:cstheme="minorHAnsi"/>
                      <w:b/>
                    </w:rPr>
                    <w:t>For deposit of costs (private appointment) or interim fees (freestanding of temporary orders)</w:t>
                  </w:r>
                </w:p>
                <w:p w:rsidR="00486AB8" w:rsidRPr="005348A6" w:rsidRDefault="00486AB8" w:rsidP="00486AB8">
                  <w:pPr>
                    <w:pStyle w:val="ListParagraph"/>
                    <w:numPr>
                      <w:ilvl w:val="0"/>
                      <w:numId w:val="3"/>
                    </w:numPr>
                    <w:rPr>
                      <w:rFonts w:cstheme="minorHAnsi"/>
                      <w:b/>
                    </w:rPr>
                  </w:pPr>
                  <w:r w:rsidRPr="005348A6">
                    <w:rPr>
                      <w:rFonts w:cstheme="minorHAnsi"/>
                      <w:b/>
                    </w:rPr>
                    <w:t>For entry of an order or dismissal (entry date assigned by court)</w:t>
                  </w:r>
                </w:p>
                <w:p w:rsidR="00F52F7B" w:rsidRPr="005348A6" w:rsidRDefault="00F52F7B" w:rsidP="00F52F7B">
                  <w:pPr>
                    <w:rPr>
                      <w:rFonts w:cstheme="minorHAnsi"/>
                      <w:b/>
                    </w:rPr>
                  </w:pPr>
                  <w:r w:rsidRPr="005348A6">
                    <w:rPr>
                      <w:rFonts w:cstheme="minorHAnsi"/>
                      <w:b/>
                    </w:rPr>
                    <w:t>3.    A motion for continuance, for drug testing, withdrawal, to confer and for deposit of costs/interim fees may be presented in an oral hearing along with related relief.</w:t>
                  </w:r>
                </w:p>
                <w:p w:rsidR="00F52F7B" w:rsidRPr="005348A6" w:rsidRDefault="00F52F7B" w:rsidP="00F52F7B">
                  <w:pPr>
                    <w:rPr>
                      <w:rFonts w:cstheme="minorHAnsi"/>
                      <w:b/>
                    </w:rPr>
                  </w:pPr>
                  <w:r w:rsidRPr="005348A6">
                    <w:rPr>
                      <w:rFonts w:cstheme="minorHAnsi"/>
                      <w:b/>
                    </w:rPr>
                    <w:t>4.     Certificate of service for notice of a hearing by submission must be filed</w:t>
                  </w:r>
                  <w:r w:rsidRPr="005348A6">
                    <w:rPr>
                      <w:rFonts w:cstheme="minorHAnsi"/>
                      <w:b/>
                      <w:u w:val="single"/>
                    </w:rPr>
                    <w:t xml:space="preserve"> &gt;</w:t>
                  </w:r>
                  <w:r w:rsidRPr="005348A6">
                    <w:rPr>
                      <w:rFonts w:cstheme="minorHAnsi"/>
                      <w:b/>
                    </w:rPr>
                    <w:t>10 days from the submission date; nothing in these policies shall act to compress any deadlines under the Texas Family Code or Rules of Civil Procedure (e.g., the notice required for summary judgment is still 21 days)</w:t>
                  </w:r>
                </w:p>
                <w:p w:rsidR="00F52F7B" w:rsidRPr="005348A6" w:rsidRDefault="00F52F7B" w:rsidP="00F52F7B">
                  <w:pPr>
                    <w:rPr>
                      <w:rFonts w:cstheme="minorHAnsi"/>
                      <w:b/>
                    </w:rPr>
                  </w:pPr>
                  <w:r w:rsidRPr="005348A6">
                    <w:rPr>
                      <w:rFonts w:cstheme="minorHAnsi"/>
                      <w:b/>
                    </w:rPr>
                    <w:t>5.     Responses must be filed</w:t>
                  </w:r>
                  <w:r w:rsidRPr="005348A6">
                    <w:rPr>
                      <w:rFonts w:cstheme="minorHAnsi"/>
                      <w:b/>
                      <w:u w:val="single"/>
                    </w:rPr>
                    <w:t xml:space="preserve"> &gt;</w:t>
                  </w:r>
                  <w:r w:rsidRPr="005348A6">
                    <w:rPr>
                      <w:rFonts w:cstheme="minorHAnsi"/>
                      <w:b/>
                    </w:rPr>
                    <w:t xml:space="preserve"> 3 days prior to the date of submission (except as otherwise mandated by the Texas Rules of Civil Procedure).</w:t>
                  </w:r>
                </w:p>
                <w:p w:rsidR="00F52F7B" w:rsidRPr="005348A6" w:rsidRDefault="00F52F7B" w:rsidP="00F52F7B">
                  <w:pPr>
                    <w:rPr>
                      <w:rFonts w:cstheme="minorHAnsi"/>
                      <w:b/>
                    </w:rPr>
                  </w:pPr>
                  <w:r w:rsidRPr="005348A6">
                    <w:rPr>
                      <w:rFonts w:cstheme="minorHAnsi"/>
                      <w:b/>
                    </w:rPr>
                    <w:t>6.      Attach supporting evidence to the motion or responses as exhibits.</w:t>
                  </w:r>
                </w:p>
                <w:p w:rsidR="00F52F7B" w:rsidRPr="005348A6" w:rsidRDefault="00F52F7B" w:rsidP="00F52F7B">
                  <w:pPr>
                    <w:rPr>
                      <w:rFonts w:cstheme="minorHAnsi"/>
                      <w:b/>
                    </w:rPr>
                  </w:pPr>
                </w:p>
                <w:p w:rsidR="00F52F7B" w:rsidRPr="005348A6" w:rsidRDefault="00F52F7B" w:rsidP="00F52F7B">
                  <w:pPr>
                    <w:pStyle w:val="ListParagraph"/>
                    <w:rPr>
                      <w:rFonts w:cstheme="minorHAnsi"/>
                      <w:b/>
                    </w:rPr>
                  </w:pPr>
                  <w:bookmarkStart w:id="0" w:name="_GoBack"/>
                  <w:bookmarkEnd w:id="0"/>
                </w:p>
                <w:p w:rsidR="00486AB8" w:rsidRPr="005348A6" w:rsidRDefault="00486AB8" w:rsidP="00F52F7B">
                  <w:pPr>
                    <w:pStyle w:val="ListParagraph"/>
                    <w:jc w:val="right"/>
                    <w:rPr>
                      <w:rFonts w:cstheme="minorHAnsi"/>
                      <w:b/>
                    </w:rPr>
                  </w:pPr>
                </w:p>
                <w:p w:rsidR="00486AB8" w:rsidRPr="00486AB8" w:rsidRDefault="00486AB8" w:rsidP="00486AB8">
                  <w:pPr>
                    <w:pStyle w:val="ListParagraph"/>
                    <w:spacing w:after="0" w:line="240" w:lineRule="auto"/>
                    <w:ind w:left="1440"/>
                    <w:rPr>
                      <w:rFonts w:eastAsia="Times New Roman" w:cstheme="minorHAnsi"/>
                      <w:b/>
                    </w:rPr>
                  </w:pPr>
                </w:p>
              </w:tc>
            </w:tr>
            <w:tr w:rsidR="00486AB8" w:rsidRPr="005348A6" w:rsidTr="00486AB8">
              <w:tc>
                <w:tcPr>
                  <w:tcW w:w="7560" w:type="dxa"/>
                  <w:vAlign w:val="center"/>
                </w:tcPr>
                <w:p w:rsidR="00486AB8" w:rsidRPr="005348A6" w:rsidRDefault="00486AB8" w:rsidP="00486AB8">
                  <w:pPr>
                    <w:spacing w:after="0" w:line="240" w:lineRule="auto"/>
                    <w:rPr>
                      <w:rFonts w:cstheme="minorHAnsi"/>
                      <w:b/>
                    </w:rPr>
                  </w:pPr>
                </w:p>
              </w:tc>
            </w:tr>
          </w:tbl>
          <w:p w:rsidR="00486AB8" w:rsidRPr="00486AB8" w:rsidRDefault="00486AB8" w:rsidP="00486AB8">
            <w:pPr>
              <w:spacing w:after="0" w:line="240" w:lineRule="auto"/>
              <w:jc w:val="both"/>
              <w:rPr>
                <w:rFonts w:eastAsia="Times New Roman" w:cstheme="minorHAnsi"/>
                <w:b/>
              </w:rPr>
            </w:pPr>
          </w:p>
        </w:tc>
      </w:tr>
    </w:tbl>
    <w:p w:rsidR="00486AB8" w:rsidRPr="00486AB8" w:rsidRDefault="00486AB8"/>
    <w:sectPr w:rsidR="00486AB8" w:rsidRPr="0048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3BF"/>
    <w:multiLevelType w:val="hybridMultilevel"/>
    <w:tmpl w:val="F12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2113"/>
    <w:multiLevelType w:val="hybridMultilevel"/>
    <w:tmpl w:val="175C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C7286"/>
    <w:multiLevelType w:val="hybridMultilevel"/>
    <w:tmpl w:val="8C006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B8"/>
    <w:rsid w:val="001F0614"/>
    <w:rsid w:val="00486AB8"/>
    <w:rsid w:val="005348A6"/>
    <w:rsid w:val="00F5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0FB3"/>
  <w15:chartTrackingRefBased/>
  <w15:docId w15:val="{167800E7-797E-4E28-A42C-D79F1D24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8"/>
    <w:pPr>
      <w:ind w:left="720"/>
      <w:contextualSpacing/>
    </w:pPr>
  </w:style>
  <w:style w:type="character" w:customStyle="1" w:styleId="fontstyle01">
    <w:name w:val="fontstyle01"/>
    <w:basedOn w:val="DefaultParagraphFont"/>
    <w:rsid w:val="00486AB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5198">
      <w:bodyDiv w:val="1"/>
      <w:marLeft w:val="0"/>
      <w:marRight w:val="0"/>
      <w:marTop w:val="0"/>
      <w:marBottom w:val="0"/>
      <w:divBdr>
        <w:top w:val="none" w:sz="0" w:space="0" w:color="auto"/>
        <w:left w:val="none" w:sz="0" w:space="0" w:color="auto"/>
        <w:bottom w:val="none" w:sz="0" w:space="0" w:color="auto"/>
        <w:right w:val="none" w:sz="0" w:space="0" w:color="auto"/>
      </w:divBdr>
    </w:div>
    <w:div w:id="161743980">
      <w:bodyDiv w:val="1"/>
      <w:marLeft w:val="0"/>
      <w:marRight w:val="0"/>
      <w:marTop w:val="0"/>
      <w:marBottom w:val="0"/>
      <w:divBdr>
        <w:top w:val="none" w:sz="0" w:space="0" w:color="auto"/>
        <w:left w:val="none" w:sz="0" w:space="0" w:color="auto"/>
        <w:bottom w:val="none" w:sz="0" w:space="0" w:color="auto"/>
        <w:right w:val="none" w:sz="0" w:space="0" w:color="auto"/>
      </w:divBdr>
    </w:div>
    <w:div w:id="194971764">
      <w:bodyDiv w:val="1"/>
      <w:marLeft w:val="0"/>
      <w:marRight w:val="0"/>
      <w:marTop w:val="0"/>
      <w:marBottom w:val="0"/>
      <w:divBdr>
        <w:top w:val="none" w:sz="0" w:space="0" w:color="auto"/>
        <w:left w:val="none" w:sz="0" w:space="0" w:color="auto"/>
        <w:bottom w:val="none" w:sz="0" w:space="0" w:color="auto"/>
        <w:right w:val="none" w:sz="0" w:space="0" w:color="auto"/>
      </w:divBdr>
    </w:div>
    <w:div w:id="1220095876">
      <w:bodyDiv w:val="1"/>
      <w:marLeft w:val="0"/>
      <w:marRight w:val="0"/>
      <w:marTop w:val="0"/>
      <w:marBottom w:val="0"/>
      <w:divBdr>
        <w:top w:val="none" w:sz="0" w:space="0" w:color="auto"/>
        <w:left w:val="none" w:sz="0" w:space="0" w:color="auto"/>
        <w:bottom w:val="none" w:sz="0" w:space="0" w:color="auto"/>
        <w:right w:val="none" w:sz="0" w:space="0" w:color="auto"/>
      </w:divBdr>
    </w:div>
    <w:div w:id="1746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1254</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
    </vt:vector>
  </TitlesOfParts>
  <Company>Harris County District Courts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Iris (DCA)</dc:creator>
  <cp:keywords/>
  <dc:description/>
  <cp:lastModifiedBy>Garcia, Iris (DCA)</cp:lastModifiedBy>
  <cp:revision>1</cp:revision>
  <dcterms:created xsi:type="dcterms:W3CDTF">2020-03-13T16:35:00Z</dcterms:created>
  <dcterms:modified xsi:type="dcterms:W3CDTF">2020-03-13T16:58:00Z</dcterms:modified>
</cp:coreProperties>
</file>